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deGrelha5Escura-Destaque4"/>
        <w:tblW w:w="5265" w:type="pct"/>
        <w:jc w:val="center"/>
        <w:tblLook w:val="04A0" w:firstRow="1" w:lastRow="0" w:firstColumn="1" w:lastColumn="0" w:noHBand="0" w:noVBand="1"/>
      </w:tblPr>
      <w:tblGrid>
        <w:gridCol w:w="1552"/>
        <w:gridCol w:w="3267"/>
        <w:gridCol w:w="11385"/>
      </w:tblGrid>
      <w:tr w:rsidR="00C81ADE" w:rsidRPr="002842A2" w14:paraId="5A366D2B" w14:textId="77777777" w:rsidTr="0012264C">
        <w:trPr>
          <w:cnfStyle w:val="100000000000" w:firstRow="1" w:lastRow="0" w:firstColumn="0" w:lastColumn="0" w:oddVBand="0" w:evenVBand="0" w:oddHBand="0"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479" w:type="pct"/>
            <w:vAlign w:val="center"/>
          </w:tcPr>
          <w:p w14:paraId="746EBD99" w14:textId="77777777" w:rsidR="00C81ADE" w:rsidRPr="002842A2" w:rsidRDefault="00C81ADE" w:rsidP="00A56DA5">
            <w:pPr>
              <w:jc w:val="center"/>
              <w:rPr>
                <w:rFonts w:cstheme="minorHAnsi"/>
                <w:color w:val="auto"/>
                <w:sz w:val="20"/>
                <w:szCs w:val="20"/>
              </w:rPr>
            </w:pPr>
            <w:r w:rsidRPr="002842A2">
              <w:rPr>
                <w:rFonts w:cstheme="minorHAnsi"/>
                <w:color w:val="auto"/>
                <w:sz w:val="20"/>
                <w:szCs w:val="20"/>
              </w:rPr>
              <w:t>DOMÍNIO</w:t>
            </w:r>
          </w:p>
        </w:tc>
        <w:tc>
          <w:tcPr>
            <w:tcW w:w="1008" w:type="pct"/>
            <w:vAlign w:val="center"/>
          </w:tcPr>
          <w:p w14:paraId="576C900A" w14:textId="77777777" w:rsidR="00B80D85" w:rsidRPr="002842A2" w:rsidRDefault="00C81ADE" w:rsidP="00A56DA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842A2">
              <w:rPr>
                <w:rFonts w:cstheme="minorHAnsi"/>
                <w:color w:val="auto"/>
                <w:sz w:val="20"/>
                <w:szCs w:val="20"/>
              </w:rPr>
              <w:t xml:space="preserve">ÂMBITO </w:t>
            </w:r>
            <w:r w:rsidR="00B80D85" w:rsidRPr="002842A2">
              <w:rPr>
                <w:rFonts w:cstheme="minorHAnsi"/>
                <w:color w:val="auto"/>
                <w:sz w:val="20"/>
                <w:szCs w:val="20"/>
              </w:rPr>
              <w:t>D</w:t>
            </w:r>
            <w:r w:rsidRPr="002842A2">
              <w:rPr>
                <w:rFonts w:cstheme="minorHAnsi"/>
                <w:color w:val="auto"/>
                <w:sz w:val="20"/>
                <w:szCs w:val="20"/>
              </w:rPr>
              <w:t xml:space="preserve">E </w:t>
            </w:r>
          </w:p>
          <w:p w14:paraId="7ADEBA67" w14:textId="77777777" w:rsidR="00C81ADE" w:rsidRPr="002842A2" w:rsidRDefault="00C81ADE" w:rsidP="00A56DA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2842A2">
              <w:rPr>
                <w:rFonts w:cstheme="minorHAnsi"/>
                <w:color w:val="auto"/>
                <w:sz w:val="20"/>
                <w:szCs w:val="20"/>
              </w:rPr>
              <w:t>APLICAÇÃO</w:t>
            </w:r>
          </w:p>
        </w:tc>
        <w:tc>
          <w:tcPr>
            <w:tcW w:w="3513" w:type="pct"/>
            <w:vAlign w:val="center"/>
          </w:tcPr>
          <w:p w14:paraId="4DA1FB67" w14:textId="080810AE" w:rsidR="00C81ADE" w:rsidRPr="002842A2" w:rsidRDefault="00C81ADE" w:rsidP="00A56DA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2842A2">
              <w:rPr>
                <w:rFonts w:cstheme="minorHAnsi"/>
                <w:color w:val="auto"/>
                <w:sz w:val="20"/>
                <w:szCs w:val="20"/>
              </w:rPr>
              <w:t>REFERÊNCIA</w:t>
            </w:r>
          </w:p>
        </w:tc>
      </w:tr>
      <w:tr w:rsidR="00EC5B87" w:rsidRPr="002842A2" w14:paraId="17093B7E" w14:textId="77777777" w:rsidTr="0012264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593FC27A" w14:textId="77777777" w:rsidR="00EC5B87" w:rsidRPr="002842A2" w:rsidRDefault="00EC5B87" w:rsidP="00CA38C5">
            <w:pPr>
              <w:jc w:val="center"/>
              <w:rPr>
                <w:rFonts w:cstheme="minorHAnsi"/>
                <w:sz w:val="20"/>
                <w:szCs w:val="20"/>
              </w:rPr>
            </w:pPr>
            <w:r w:rsidRPr="002842A2">
              <w:rPr>
                <w:rFonts w:cstheme="minorHAnsi"/>
                <w:color w:val="auto"/>
                <w:sz w:val="20"/>
                <w:szCs w:val="20"/>
              </w:rPr>
              <w:t>NUTRIÇÃO</w:t>
            </w:r>
          </w:p>
        </w:tc>
        <w:tc>
          <w:tcPr>
            <w:tcW w:w="1008" w:type="pct"/>
            <w:vAlign w:val="center"/>
          </w:tcPr>
          <w:p w14:paraId="7E149FE7"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78475C19"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7" w:history="1">
              <w:r w:rsidRPr="002842A2">
                <w:rPr>
                  <w:rStyle w:val="Hiperligao"/>
                  <w:rFonts w:cstheme="minorHAnsi"/>
                  <w:sz w:val="20"/>
                  <w:szCs w:val="20"/>
                </w:rPr>
                <w:t>Despacho n.º 7450-A/2019</w:t>
              </w:r>
            </w:hyperlink>
          </w:p>
          <w:p w14:paraId="2D46FA9E" w14:textId="3EF296A1"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 xml:space="preserve">Determina os valores a ter em conta na identificação de elevado valor energético, teor de sal, açúcar, ácidos gordos saturados e ácidos gordos </w:t>
            </w:r>
            <w:r w:rsidRPr="002842A2">
              <w:rPr>
                <w:rFonts w:cstheme="minorHAnsi"/>
                <w:i/>
                <w:iCs/>
                <w:sz w:val="20"/>
                <w:szCs w:val="20"/>
              </w:rPr>
              <w:t>trans</w:t>
            </w:r>
            <w:r w:rsidRPr="002842A2">
              <w:rPr>
                <w:rFonts w:cstheme="minorHAnsi"/>
                <w:sz w:val="20"/>
                <w:szCs w:val="20"/>
              </w:rPr>
              <w:t xml:space="preserve"> </w:t>
            </w:r>
          </w:p>
        </w:tc>
      </w:tr>
      <w:tr w:rsidR="00EC5B87" w:rsidRPr="002842A2" w14:paraId="6C6C9C9E"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583C1E2C" w14:textId="77777777" w:rsidR="00EC5B87" w:rsidRPr="002842A2" w:rsidRDefault="00EC5B87" w:rsidP="00C20F49">
            <w:pPr>
              <w:rPr>
                <w:rFonts w:cstheme="minorHAnsi"/>
                <w:b w:val="0"/>
                <w:bCs w:val="0"/>
                <w:sz w:val="20"/>
                <w:szCs w:val="20"/>
              </w:rPr>
            </w:pPr>
          </w:p>
        </w:tc>
        <w:tc>
          <w:tcPr>
            <w:tcW w:w="1008" w:type="pct"/>
            <w:vAlign w:val="center"/>
          </w:tcPr>
          <w:p w14:paraId="155E702E" w14:textId="77777777" w:rsidR="00EC5B87" w:rsidRPr="002842A2" w:rsidRDefault="00EC5B87" w:rsidP="00C20F4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Escolas</w:t>
            </w:r>
          </w:p>
        </w:tc>
        <w:tc>
          <w:tcPr>
            <w:tcW w:w="3513" w:type="pct"/>
          </w:tcPr>
          <w:p w14:paraId="6302414B"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8" w:history="1">
              <w:r w:rsidRPr="002842A2">
                <w:rPr>
                  <w:rStyle w:val="Hiperligao"/>
                  <w:rFonts w:cstheme="minorHAnsi"/>
                  <w:sz w:val="20"/>
                  <w:szCs w:val="20"/>
                </w:rPr>
                <w:t>Portaria n.º 113/2018</w:t>
              </w:r>
            </w:hyperlink>
          </w:p>
          <w:p w14:paraId="688FB701"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b/>
                <w:bCs/>
                <w:sz w:val="20"/>
                <w:szCs w:val="20"/>
              </w:rPr>
              <w:t>Regime escolar</w:t>
            </w:r>
            <w:r w:rsidRPr="002842A2">
              <w:rPr>
                <w:rFonts w:cstheme="minorHAnsi"/>
                <w:sz w:val="20"/>
                <w:szCs w:val="20"/>
              </w:rPr>
              <w:t xml:space="preserve"> em estabelecimentos de ensino público</w:t>
            </w:r>
            <w:r w:rsidRPr="002842A2">
              <w:rPr>
                <w:rFonts w:cstheme="minorHAnsi"/>
                <w:b/>
                <w:bCs/>
                <w:sz w:val="20"/>
                <w:szCs w:val="20"/>
              </w:rPr>
              <w:t xml:space="preserve">: </w:t>
            </w:r>
            <w:r w:rsidRPr="002842A2">
              <w:rPr>
                <w:rFonts w:cstheme="minorHAnsi"/>
                <w:sz w:val="20"/>
                <w:szCs w:val="20"/>
              </w:rPr>
              <w:t>a)</w:t>
            </w:r>
            <w:r w:rsidRPr="002842A2">
              <w:rPr>
                <w:rFonts w:cstheme="minorHAnsi"/>
                <w:b/>
                <w:bCs/>
                <w:sz w:val="20"/>
                <w:szCs w:val="20"/>
              </w:rPr>
              <w:t xml:space="preserve"> </w:t>
            </w:r>
            <w:r w:rsidRPr="002842A2">
              <w:rPr>
                <w:rFonts w:cstheme="minorHAnsi"/>
                <w:sz w:val="20"/>
                <w:szCs w:val="20"/>
              </w:rPr>
              <w:t xml:space="preserve">distribuição de fruta, produtos hortícolas e bananas e leite e produtos lácteos aos alunos do 1.º ciclo do ensino básico; b) distribuição de leite e produtos lácteos aos alunos do ensino pré-escolar </w:t>
            </w:r>
          </w:p>
        </w:tc>
      </w:tr>
      <w:tr w:rsidR="00EC5B87" w:rsidRPr="002842A2" w14:paraId="7BC4C47D" w14:textId="77777777" w:rsidTr="0012264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tcPr>
          <w:p w14:paraId="1DC151E3" w14:textId="77777777" w:rsidR="00EC5B87" w:rsidRPr="002842A2" w:rsidRDefault="00EC5B87" w:rsidP="00C20F49">
            <w:pPr>
              <w:rPr>
                <w:rFonts w:cstheme="minorHAnsi"/>
                <w:sz w:val="20"/>
                <w:szCs w:val="20"/>
              </w:rPr>
            </w:pPr>
          </w:p>
        </w:tc>
        <w:tc>
          <w:tcPr>
            <w:tcW w:w="1008" w:type="pct"/>
            <w:vAlign w:val="center"/>
          </w:tcPr>
          <w:p w14:paraId="1C6F27F1"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Refeitórios Escolares</w:t>
            </w:r>
          </w:p>
        </w:tc>
        <w:bookmarkStart w:id="0" w:name="_Hlk84405468"/>
        <w:tc>
          <w:tcPr>
            <w:tcW w:w="3513" w:type="pct"/>
          </w:tcPr>
          <w:p w14:paraId="6F5BFE0C"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fldChar w:fldCharType="begin"/>
            </w:r>
            <w:r w:rsidRPr="002842A2">
              <w:rPr>
                <w:rFonts w:cstheme="minorHAnsi"/>
                <w:sz w:val="20"/>
                <w:szCs w:val="20"/>
              </w:rPr>
              <w:instrText xml:space="preserve"> HYPERLINK "https://dre.pt/application/file/a/114347577" </w:instrText>
            </w:r>
            <w:r w:rsidRPr="002842A2">
              <w:rPr>
                <w:rFonts w:cstheme="minorHAnsi"/>
                <w:sz w:val="20"/>
                <w:szCs w:val="20"/>
              </w:rPr>
              <w:fldChar w:fldCharType="separate"/>
            </w:r>
            <w:r w:rsidRPr="002842A2">
              <w:rPr>
                <w:rStyle w:val="Hiperligao"/>
                <w:rFonts w:cstheme="minorHAnsi"/>
                <w:sz w:val="20"/>
                <w:szCs w:val="20"/>
              </w:rPr>
              <w:t>Despacho n.º 10919/2017</w:t>
            </w:r>
            <w:r w:rsidRPr="002842A2">
              <w:rPr>
                <w:rStyle w:val="Hiperligao"/>
                <w:rFonts w:cstheme="minorHAnsi"/>
                <w:sz w:val="20"/>
                <w:szCs w:val="20"/>
              </w:rPr>
              <w:fldChar w:fldCharType="end"/>
            </w:r>
          </w:p>
          <w:p w14:paraId="372E06B9"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Plano Integrado de Controlo da Qualidade e Quantidade das Refeições Servidas nos Estabelecimentos de Educação e Ensino Públicos</w:t>
            </w:r>
            <w:bookmarkEnd w:id="0"/>
          </w:p>
        </w:tc>
      </w:tr>
      <w:tr w:rsidR="00EC5B87" w:rsidRPr="002842A2" w14:paraId="34CF82D0"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46B2F515" w14:textId="77777777" w:rsidR="00EC5B87" w:rsidRPr="002842A2" w:rsidRDefault="00EC5B87" w:rsidP="00C20F49">
            <w:pPr>
              <w:rPr>
                <w:rFonts w:cstheme="minorHAnsi"/>
                <w:sz w:val="20"/>
                <w:szCs w:val="20"/>
              </w:rPr>
            </w:pPr>
          </w:p>
        </w:tc>
        <w:tc>
          <w:tcPr>
            <w:tcW w:w="1008" w:type="pct"/>
            <w:vAlign w:val="center"/>
          </w:tcPr>
          <w:p w14:paraId="5A710244" w14:textId="77777777" w:rsidR="00EC5B87" w:rsidRPr="002842A2" w:rsidRDefault="00EC5B87" w:rsidP="00C20F4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Refeitórios Escolares</w:t>
            </w:r>
          </w:p>
        </w:tc>
        <w:tc>
          <w:tcPr>
            <w:tcW w:w="3513" w:type="pct"/>
          </w:tcPr>
          <w:p w14:paraId="3C70CA2A"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1" w:name="_Hlk84405446"/>
            <w:r w:rsidRPr="002842A2">
              <w:rPr>
                <w:rFonts w:cstheme="minorHAnsi"/>
                <w:sz w:val="20"/>
                <w:szCs w:val="20"/>
              </w:rPr>
              <w:t xml:space="preserve">Circular nº. 3097/DGE/2018: </w:t>
            </w:r>
            <w:hyperlink r:id="rId9" w:history="1">
              <w:r w:rsidRPr="002842A2">
                <w:rPr>
                  <w:rStyle w:val="Hiperligao"/>
                  <w:rFonts w:cstheme="minorHAnsi"/>
                  <w:sz w:val="20"/>
                  <w:szCs w:val="20"/>
                </w:rPr>
                <w:t>Orientações sobre Ementas e Refeitórios Escolares</w:t>
              </w:r>
            </w:hyperlink>
            <w:r w:rsidRPr="002842A2">
              <w:rPr>
                <w:rFonts w:cstheme="minorHAnsi"/>
                <w:sz w:val="20"/>
                <w:szCs w:val="20"/>
              </w:rPr>
              <w:t>, Rui Matias Lima. DGE, 2018</w:t>
            </w:r>
          </w:p>
          <w:p w14:paraId="4E087078"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Diretrizes sobre os critérios a respeitar no fornecimento de refeições nos refeitórios escolares, a partir do início do ano letivo 2018/2019</w:t>
            </w:r>
            <w:bookmarkEnd w:id="1"/>
          </w:p>
        </w:tc>
      </w:tr>
      <w:tr w:rsidR="00EC5B87" w:rsidRPr="002842A2" w14:paraId="21EEDB0B" w14:textId="77777777" w:rsidTr="0012264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tcPr>
          <w:p w14:paraId="17DA2986" w14:textId="77777777" w:rsidR="00EC5B87" w:rsidRPr="002842A2" w:rsidRDefault="00EC5B87" w:rsidP="00C20F49">
            <w:pPr>
              <w:rPr>
                <w:rFonts w:cstheme="minorHAnsi"/>
                <w:sz w:val="20"/>
                <w:szCs w:val="20"/>
              </w:rPr>
            </w:pPr>
          </w:p>
        </w:tc>
        <w:tc>
          <w:tcPr>
            <w:tcW w:w="1008" w:type="pct"/>
            <w:vAlign w:val="center"/>
          </w:tcPr>
          <w:p w14:paraId="2777C9DB"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Refeitórios Escolares</w:t>
            </w:r>
          </w:p>
        </w:tc>
        <w:bookmarkStart w:id="2" w:name="_Hlk84405496"/>
        <w:tc>
          <w:tcPr>
            <w:tcW w:w="3513" w:type="pct"/>
          </w:tcPr>
          <w:p w14:paraId="398797AC"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fldChar w:fldCharType="begin"/>
            </w:r>
            <w:r w:rsidRPr="002842A2">
              <w:rPr>
                <w:rFonts w:cstheme="minorHAnsi"/>
                <w:sz w:val="20"/>
                <w:szCs w:val="20"/>
              </w:rPr>
              <w:instrText xml:space="preserve"> HYPERLINK "https://dre.pt/application/file/a/106882392" </w:instrText>
            </w:r>
            <w:r w:rsidRPr="002842A2">
              <w:rPr>
                <w:rFonts w:cstheme="minorHAnsi"/>
                <w:sz w:val="20"/>
                <w:szCs w:val="20"/>
              </w:rPr>
              <w:fldChar w:fldCharType="separate"/>
            </w:r>
            <w:r w:rsidRPr="002842A2">
              <w:rPr>
                <w:rStyle w:val="Hiperligao"/>
                <w:rFonts w:cstheme="minorHAnsi"/>
                <w:sz w:val="20"/>
                <w:szCs w:val="20"/>
              </w:rPr>
              <w:t>Lei n.º 11/2017</w:t>
            </w:r>
            <w:r w:rsidRPr="002842A2">
              <w:rPr>
                <w:rStyle w:val="Hiperligao"/>
                <w:rFonts w:cstheme="minorHAnsi"/>
                <w:sz w:val="20"/>
                <w:szCs w:val="20"/>
              </w:rPr>
              <w:fldChar w:fldCharType="end"/>
            </w:r>
          </w:p>
          <w:p w14:paraId="21D27568"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Estabelece a obrigatoriedade de existência de opção vegetariana nas ementas das cantinas e refeitórios públicos</w:t>
            </w:r>
            <w:bookmarkEnd w:id="2"/>
          </w:p>
        </w:tc>
      </w:tr>
      <w:tr w:rsidR="00EC5B87" w:rsidRPr="002842A2" w14:paraId="5EEC8B4A"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6355FAAD" w14:textId="77777777" w:rsidR="00EC5B87" w:rsidRPr="002842A2" w:rsidRDefault="00EC5B87" w:rsidP="00C20F49">
            <w:pPr>
              <w:rPr>
                <w:rFonts w:cstheme="minorHAnsi"/>
                <w:sz w:val="20"/>
                <w:szCs w:val="20"/>
              </w:rPr>
            </w:pPr>
          </w:p>
        </w:tc>
        <w:tc>
          <w:tcPr>
            <w:tcW w:w="1008" w:type="pct"/>
            <w:vAlign w:val="center"/>
          </w:tcPr>
          <w:p w14:paraId="747EBC33" w14:textId="77777777" w:rsidR="00EC5B87" w:rsidRPr="002842A2" w:rsidRDefault="00EC5B87" w:rsidP="00C20F4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 xml:space="preserve">Refeitórios Escolares </w:t>
            </w:r>
          </w:p>
        </w:tc>
        <w:tc>
          <w:tcPr>
            <w:tcW w:w="3513" w:type="pct"/>
          </w:tcPr>
          <w:p w14:paraId="3D06EC4F"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0" w:history="1">
              <w:r w:rsidRPr="002842A2">
                <w:rPr>
                  <w:rStyle w:val="Hiperligao"/>
                  <w:rFonts w:cstheme="minorHAnsi"/>
                  <w:sz w:val="20"/>
                  <w:szCs w:val="20"/>
                </w:rPr>
                <w:t>Planeamento de refeições vegetarianas para crianças em restauração coletiva: Princípios Base</w:t>
              </w:r>
            </w:hyperlink>
            <w:r w:rsidRPr="002842A2">
              <w:rPr>
                <w:rFonts w:cstheme="minorHAnsi"/>
                <w:sz w:val="20"/>
                <w:szCs w:val="20"/>
              </w:rPr>
              <w:t xml:space="preserve"> </w:t>
            </w:r>
          </w:p>
          <w:p w14:paraId="384C3726" w14:textId="4F7D2250"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842A2">
              <w:rPr>
                <w:rFonts w:cstheme="minorHAnsi"/>
                <w:sz w:val="20"/>
                <w:szCs w:val="20"/>
                <w:lang w:val="en-US"/>
              </w:rPr>
              <w:t xml:space="preserve">Liliane Lobato </w:t>
            </w:r>
            <w:r w:rsidRPr="002842A2">
              <w:rPr>
                <w:rFonts w:cstheme="minorHAnsi"/>
                <w:i/>
                <w:iCs/>
                <w:sz w:val="20"/>
                <w:szCs w:val="20"/>
                <w:lang w:val="en-US"/>
              </w:rPr>
              <w:t>et al</w:t>
            </w:r>
            <w:r w:rsidRPr="002842A2">
              <w:rPr>
                <w:rFonts w:cstheme="minorHAnsi"/>
                <w:sz w:val="20"/>
                <w:szCs w:val="20"/>
                <w:lang w:val="en-US"/>
              </w:rPr>
              <w:t>. PNPAS; DGS, 2016</w:t>
            </w:r>
          </w:p>
        </w:tc>
      </w:tr>
      <w:tr w:rsidR="00EC5B87" w:rsidRPr="002842A2" w14:paraId="631FFC08" w14:textId="77777777" w:rsidTr="0012264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tcPr>
          <w:p w14:paraId="33A87199" w14:textId="77777777" w:rsidR="00EC5B87" w:rsidRPr="002842A2" w:rsidRDefault="00EC5B87" w:rsidP="00C20F49">
            <w:pPr>
              <w:rPr>
                <w:rFonts w:cstheme="minorHAnsi"/>
                <w:sz w:val="20"/>
                <w:szCs w:val="20"/>
                <w:lang w:val="en-US"/>
              </w:rPr>
            </w:pPr>
          </w:p>
        </w:tc>
        <w:tc>
          <w:tcPr>
            <w:tcW w:w="1008" w:type="pct"/>
            <w:vAlign w:val="center"/>
          </w:tcPr>
          <w:p w14:paraId="601ABAA5"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Bufetes Escolares</w:t>
            </w:r>
          </w:p>
        </w:tc>
        <w:bookmarkStart w:id="3" w:name="_Hlk84405539"/>
        <w:tc>
          <w:tcPr>
            <w:tcW w:w="3513" w:type="pct"/>
          </w:tcPr>
          <w:p w14:paraId="7C773164"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fldChar w:fldCharType="begin"/>
            </w:r>
            <w:r w:rsidRPr="002842A2">
              <w:rPr>
                <w:rFonts w:cstheme="minorHAnsi"/>
                <w:sz w:val="20"/>
                <w:szCs w:val="20"/>
              </w:rPr>
              <w:instrText xml:space="preserve"> HYPERLINK "https://dre.pt/application/file/a/169644726" </w:instrText>
            </w:r>
            <w:r w:rsidRPr="002842A2">
              <w:rPr>
                <w:rFonts w:cstheme="minorHAnsi"/>
                <w:sz w:val="20"/>
                <w:szCs w:val="20"/>
              </w:rPr>
              <w:fldChar w:fldCharType="separate"/>
            </w:r>
            <w:r w:rsidRPr="002842A2">
              <w:rPr>
                <w:rStyle w:val="Hiperligao"/>
                <w:rFonts w:cstheme="minorHAnsi"/>
                <w:sz w:val="20"/>
                <w:szCs w:val="20"/>
              </w:rPr>
              <w:t>Despacho n.º 8127/2021</w:t>
            </w:r>
            <w:r w:rsidRPr="002842A2">
              <w:rPr>
                <w:rStyle w:val="Hiperligao"/>
                <w:rFonts w:cstheme="minorHAnsi"/>
                <w:sz w:val="20"/>
                <w:szCs w:val="20"/>
              </w:rPr>
              <w:fldChar w:fldCharType="end"/>
            </w:r>
          </w:p>
          <w:p w14:paraId="03AEC749"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Normas a ter em conta na elaboração das ementas e na venda de géneros alimentícios nos bufetes e nas máquinas de venda automática nos estabelecimentos de educação e de ensino da rede pública do Ministério da Educação</w:t>
            </w:r>
            <w:bookmarkEnd w:id="3"/>
          </w:p>
        </w:tc>
      </w:tr>
      <w:tr w:rsidR="00EC5B87" w:rsidRPr="002842A2" w14:paraId="7B48B48A"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5D14A7CE" w14:textId="77777777" w:rsidR="00EC5B87" w:rsidRPr="002842A2" w:rsidRDefault="00EC5B87" w:rsidP="00C20F49">
            <w:pPr>
              <w:rPr>
                <w:rFonts w:cstheme="minorHAnsi"/>
                <w:sz w:val="20"/>
                <w:szCs w:val="20"/>
              </w:rPr>
            </w:pPr>
          </w:p>
        </w:tc>
        <w:tc>
          <w:tcPr>
            <w:tcW w:w="1008" w:type="pct"/>
            <w:vAlign w:val="center"/>
          </w:tcPr>
          <w:p w14:paraId="7C766F10" w14:textId="77777777" w:rsidR="00EC5B87" w:rsidRPr="002842A2" w:rsidRDefault="00EC5B87" w:rsidP="00C20F4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Refeitórios Escolares</w:t>
            </w:r>
          </w:p>
        </w:tc>
        <w:bookmarkStart w:id="4" w:name="_Hlk84405570"/>
        <w:tc>
          <w:tcPr>
            <w:tcW w:w="3513" w:type="pct"/>
          </w:tcPr>
          <w:p w14:paraId="668FA1DC"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Style w:val="Hiperligao"/>
                <w:rFonts w:cstheme="minorHAnsi"/>
                <w:sz w:val="20"/>
                <w:szCs w:val="20"/>
              </w:rPr>
            </w:pPr>
            <w:r w:rsidRPr="002842A2">
              <w:rPr>
                <w:rFonts w:cstheme="minorHAnsi"/>
                <w:sz w:val="20"/>
                <w:szCs w:val="20"/>
              </w:rPr>
              <w:fldChar w:fldCharType="begin"/>
            </w:r>
            <w:r w:rsidRPr="002842A2">
              <w:rPr>
                <w:rFonts w:cstheme="minorHAnsi"/>
                <w:sz w:val="20"/>
                <w:szCs w:val="20"/>
              </w:rPr>
              <w:instrText xml:space="preserve"> HYPERLINK "https://spare.dgs.pt/" </w:instrText>
            </w:r>
            <w:r w:rsidRPr="002842A2">
              <w:rPr>
                <w:rFonts w:cstheme="minorHAnsi"/>
                <w:sz w:val="20"/>
                <w:szCs w:val="20"/>
              </w:rPr>
              <w:fldChar w:fldCharType="separate"/>
            </w:r>
            <w:r w:rsidRPr="002842A2">
              <w:rPr>
                <w:rStyle w:val="Hiperligao"/>
                <w:rFonts w:cstheme="minorHAnsi"/>
                <w:sz w:val="20"/>
                <w:szCs w:val="20"/>
              </w:rPr>
              <w:t>SPARE Sistema de Planeamento e Avaliação de Refeições Escolares </w:t>
            </w:r>
            <w:r w:rsidRPr="002842A2">
              <w:rPr>
                <w:rStyle w:val="Hiperligao"/>
                <w:rFonts w:cstheme="minorHAnsi"/>
                <w:sz w:val="20"/>
                <w:szCs w:val="20"/>
              </w:rPr>
              <w:fldChar w:fldCharType="end"/>
            </w:r>
            <w:r w:rsidRPr="002842A2">
              <w:rPr>
                <w:rFonts w:cstheme="minorHAnsi"/>
                <w:sz w:val="20"/>
                <w:szCs w:val="20"/>
              </w:rPr>
              <w:t>PNPAS; DGS; DGE</w:t>
            </w:r>
          </w:p>
          <w:p w14:paraId="2F41683D"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Ferramenta informática que permite planear refeições de forma efetiva e organizada, de acordo com as principais recomendações alimentares e nutricionais nacionais e internacionais vigentes</w:t>
            </w:r>
            <w:bookmarkEnd w:id="4"/>
          </w:p>
        </w:tc>
      </w:tr>
      <w:tr w:rsidR="00EC5B87" w:rsidRPr="002842A2" w14:paraId="235CAE02" w14:textId="77777777" w:rsidTr="0012264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tcPr>
          <w:p w14:paraId="2F42FDCE" w14:textId="77777777" w:rsidR="00EC5B87" w:rsidRPr="002842A2" w:rsidRDefault="00EC5B87" w:rsidP="00C20F49">
            <w:pPr>
              <w:rPr>
                <w:rFonts w:cstheme="minorHAnsi"/>
                <w:sz w:val="20"/>
                <w:szCs w:val="20"/>
              </w:rPr>
            </w:pPr>
          </w:p>
        </w:tc>
        <w:tc>
          <w:tcPr>
            <w:tcW w:w="1008" w:type="pct"/>
            <w:vAlign w:val="center"/>
          </w:tcPr>
          <w:p w14:paraId="380FA26D"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Escolas</w:t>
            </w:r>
          </w:p>
        </w:tc>
        <w:tc>
          <w:tcPr>
            <w:tcW w:w="3513" w:type="pct"/>
          </w:tcPr>
          <w:p w14:paraId="4AD6FA3A"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1" w:history="1">
              <w:r w:rsidRPr="002842A2">
                <w:rPr>
                  <w:rStyle w:val="Hiperligao"/>
                  <w:rFonts w:cstheme="minorHAnsi"/>
                  <w:sz w:val="20"/>
                  <w:szCs w:val="20"/>
                </w:rPr>
                <w:t>Guia para Lanches Escolares Saudáveis</w:t>
              </w:r>
            </w:hyperlink>
            <w:r w:rsidRPr="002842A2">
              <w:rPr>
                <w:rFonts w:cstheme="minorHAnsi"/>
                <w:sz w:val="20"/>
                <w:szCs w:val="20"/>
              </w:rPr>
              <w:t xml:space="preserve">, Maria João Gregório </w:t>
            </w:r>
            <w:proofErr w:type="spellStart"/>
            <w:r w:rsidRPr="002842A2">
              <w:rPr>
                <w:rFonts w:cstheme="minorHAnsi"/>
                <w:i/>
                <w:iCs/>
                <w:sz w:val="20"/>
                <w:szCs w:val="20"/>
              </w:rPr>
              <w:t>et</w:t>
            </w:r>
            <w:proofErr w:type="spellEnd"/>
            <w:r w:rsidRPr="002842A2">
              <w:rPr>
                <w:rFonts w:cstheme="minorHAnsi"/>
                <w:i/>
                <w:iCs/>
                <w:sz w:val="20"/>
                <w:szCs w:val="20"/>
              </w:rPr>
              <w:t xml:space="preserve"> al</w:t>
            </w:r>
            <w:r w:rsidRPr="002842A2">
              <w:rPr>
                <w:rFonts w:cstheme="minorHAnsi"/>
                <w:sz w:val="20"/>
                <w:szCs w:val="20"/>
              </w:rPr>
              <w:t>. PNPAS; DGS; DGE, 2021</w:t>
            </w:r>
          </w:p>
          <w:p w14:paraId="6294AAE5"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Apresentação de regras simples para a constituição de um lanche saudável, incluindo cuidados a ter na preparação, transporte e consumo dos lanches.</w:t>
            </w:r>
          </w:p>
          <w:p w14:paraId="344A599D" w14:textId="3117368E"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C5B87" w:rsidRPr="002842A2" w14:paraId="7C0F6434"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358C51A1" w14:textId="77777777" w:rsidR="00EC5B87" w:rsidRPr="002842A2" w:rsidRDefault="00EC5B87" w:rsidP="00C20F49">
            <w:pPr>
              <w:rPr>
                <w:rFonts w:cstheme="minorHAnsi"/>
                <w:sz w:val="20"/>
                <w:szCs w:val="20"/>
              </w:rPr>
            </w:pPr>
          </w:p>
        </w:tc>
        <w:tc>
          <w:tcPr>
            <w:tcW w:w="1008" w:type="pct"/>
            <w:vAlign w:val="center"/>
          </w:tcPr>
          <w:p w14:paraId="63244B3A" w14:textId="77777777" w:rsidR="00EC5B87" w:rsidRPr="002842A2" w:rsidRDefault="00EC5B87" w:rsidP="00C20F4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842A2">
              <w:rPr>
                <w:rFonts w:cstheme="minorHAnsi"/>
                <w:sz w:val="20"/>
                <w:szCs w:val="20"/>
                <w:lang w:val="en-US"/>
              </w:rPr>
              <w:t>Refeitórios de IPSS</w:t>
            </w:r>
          </w:p>
        </w:tc>
        <w:tc>
          <w:tcPr>
            <w:tcW w:w="3513" w:type="pct"/>
          </w:tcPr>
          <w:p w14:paraId="0266E3B0"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2" w:history="1">
              <w:r w:rsidRPr="002842A2">
                <w:rPr>
                  <w:rStyle w:val="Hiperligao"/>
                  <w:rFonts w:cstheme="minorHAnsi"/>
                  <w:sz w:val="20"/>
                  <w:szCs w:val="20"/>
                </w:rPr>
                <w:t>Orientações para o fornecimento de refeições saudáveis pelas entidades da economia social</w:t>
              </w:r>
            </w:hyperlink>
          </w:p>
          <w:p w14:paraId="403994D4" w14:textId="0E9A3BD8"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 xml:space="preserve"> Maria João Gregório, Pedro Graça. PNPAS; DGS, 2016</w:t>
            </w:r>
          </w:p>
        </w:tc>
      </w:tr>
      <w:tr w:rsidR="00EC5B87" w:rsidRPr="002842A2" w14:paraId="2D7193E6" w14:textId="77777777" w:rsidTr="0012264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pct"/>
            <w:vMerge/>
          </w:tcPr>
          <w:p w14:paraId="758411E7" w14:textId="77777777" w:rsidR="00EC5B87" w:rsidRPr="002842A2" w:rsidRDefault="00EC5B87" w:rsidP="00C20F49">
            <w:pPr>
              <w:rPr>
                <w:rFonts w:cstheme="minorHAnsi"/>
                <w:sz w:val="20"/>
                <w:szCs w:val="20"/>
              </w:rPr>
            </w:pPr>
          </w:p>
        </w:tc>
        <w:tc>
          <w:tcPr>
            <w:tcW w:w="1008" w:type="pct"/>
            <w:vAlign w:val="center"/>
          </w:tcPr>
          <w:p w14:paraId="66AFC43A"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Máquinas de venda automática do SNS</w:t>
            </w:r>
          </w:p>
        </w:tc>
        <w:tc>
          <w:tcPr>
            <w:tcW w:w="3513" w:type="pct"/>
          </w:tcPr>
          <w:p w14:paraId="0007C1E9" w14:textId="77777777"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3" w:history="1">
              <w:r w:rsidRPr="002842A2">
                <w:rPr>
                  <w:rStyle w:val="Hiperligao"/>
                  <w:rFonts w:cstheme="minorHAnsi"/>
                  <w:sz w:val="20"/>
                  <w:szCs w:val="20"/>
                </w:rPr>
                <w:t>Despacho n.º 7516-A/2016</w:t>
              </w:r>
            </w:hyperlink>
          </w:p>
          <w:p w14:paraId="4BB30271" w14:textId="3F8FAD36"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Produtos cuja venda é proibida nas máquinas de venda automática das instituições do SNS, designadamente em agrupamentos de centros de saúde, estabelecimentos hospitalares e unidades locais de saúde</w:t>
            </w:r>
          </w:p>
        </w:tc>
      </w:tr>
      <w:tr w:rsidR="00EC5B87" w:rsidRPr="002842A2" w14:paraId="5936E5D8"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7943B924" w14:textId="77777777" w:rsidR="00EC5B87" w:rsidRPr="002842A2" w:rsidRDefault="00EC5B87" w:rsidP="00C20F49">
            <w:pPr>
              <w:rPr>
                <w:rFonts w:cstheme="minorHAnsi"/>
                <w:sz w:val="20"/>
                <w:szCs w:val="20"/>
              </w:rPr>
            </w:pPr>
          </w:p>
        </w:tc>
        <w:tc>
          <w:tcPr>
            <w:tcW w:w="1008" w:type="pct"/>
            <w:vAlign w:val="center"/>
          </w:tcPr>
          <w:p w14:paraId="36228B12" w14:textId="77777777" w:rsidR="00EC5B87" w:rsidRPr="002842A2" w:rsidRDefault="00EC5B87" w:rsidP="00C20F4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Bufetes do SNS</w:t>
            </w:r>
          </w:p>
        </w:tc>
        <w:tc>
          <w:tcPr>
            <w:tcW w:w="3513" w:type="pct"/>
          </w:tcPr>
          <w:p w14:paraId="663E0814"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4" w:history="1">
              <w:r w:rsidRPr="002842A2">
                <w:rPr>
                  <w:rStyle w:val="Hiperligao"/>
                  <w:rFonts w:cstheme="minorHAnsi"/>
                  <w:sz w:val="20"/>
                  <w:szCs w:val="20"/>
                </w:rPr>
                <w:t>Despacho n.º 11391/2017</w:t>
              </w:r>
            </w:hyperlink>
          </w:p>
          <w:p w14:paraId="74C8DF99"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Produtos cuja venda é proibida nos bares, cafetarias e bufetes das instituições do SNS, designadamente em agrupamentos de centros de saúde, estabelecimentos hospitalares e unidades locais de saúde</w:t>
            </w:r>
          </w:p>
        </w:tc>
      </w:tr>
      <w:tr w:rsidR="00EC5B87" w:rsidRPr="002842A2" w14:paraId="22413E21" w14:textId="77777777" w:rsidTr="002842A2">
        <w:tblPrEx>
          <w:jc w:val="left"/>
        </w:tblPrEx>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479" w:type="pct"/>
            <w:vMerge/>
          </w:tcPr>
          <w:p w14:paraId="2A1C73A6" w14:textId="77777777" w:rsidR="00EC5B87" w:rsidRPr="002842A2" w:rsidRDefault="00EC5B87" w:rsidP="00C20F49">
            <w:pPr>
              <w:rPr>
                <w:rFonts w:cstheme="minorHAnsi"/>
                <w:sz w:val="20"/>
                <w:szCs w:val="20"/>
              </w:rPr>
            </w:pPr>
          </w:p>
        </w:tc>
        <w:tc>
          <w:tcPr>
            <w:tcW w:w="1008" w:type="pct"/>
            <w:vAlign w:val="center"/>
          </w:tcPr>
          <w:p w14:paraId="208D7B87" w14:textId="77777777" w:rsidR="00EC5B87" w:rsidRPr="002842A2" w:rsidRDefault="00EC5B87" w:rsidP="00C20F4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Bufetes do SNS</w:t>
            </w:r>
          </w:p>
        </w:tc>
        <w:tc>
          <w:tcPr>
            <w:tcW w:w="3513" w:type="pct"/>
          </w:tcPr>
          <w:p w14:paraId="6EC8A3CF" w14:textId="4DF68CB5" w:rsidR="00EC5B87" w:rsidRPr="002842A2" w:rsidRDefault="00EC5B87" w:rsidP="00C20F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5" w:history="1">
              <w:r w:rsidRPr="002842A2">
                <w:rPr>
                  <w:rStyle w:val="Hiperligao"/>
                  <w:rFonts w:cstheme="minorHAnsi"/>
                  <w:sz w:val="20"/>
                  <w:szCs w:val="20"/>
                </w:rPr>
                <w:t>GUIA DE APOIO Á APLICAÇÃO DO DESPACHO N.º 1391/2017 - Alterações na disponibilidade de alimentos nas instituições do ministério da saúde</w:t>
              </w:r>
            </w:hyperlink>
            <w:r w:rsidRPr="002842A2">
              <w:rPr>
                <w:rFonts w:cstheme="minorHAnsi"/>
                <w:sz w:val="20"/>
                <w:szCs w:val="20"/>
              </w:rPr>
              <w:t>, PNPAS; DGS, 2018</w:t>
            </w:r>
          </w:p>
        </w:tc>
      </w:tr>
      <w:tr w:rsidR="00EC5B87" w:rsidRPr="002842A2" w14:paraId="45B6637C" w14:textId="77777777" w:rsidTr="0012264C">
        <w:tblPrEx>
          <w:jc w:val="left"/>
        </w:tblPrEx>
        <w:tc>
          <w:tcPr>
            <w:cnfStyle w:val="001000000000" w:firstRow="0" w:lastRow="0" w:firstColumn="1" w:lastColumn="0" w:oddVBand="0" w:evenVBand="0" w:oddHBand="0" w:evenHBand="0" w:firstRowFirstColumn="0" w:firstRowLastColumn="0" w:lastRowFirstColumn="0" w:lastRowLastColumn="0"/>
            <w:tcW w:w="479" w:type="pct"/>
            <w:vMerge/>
          </w:tcPr>
          <w:p w14:paraId="749F2A4B" w14:textId="77777777" w:rsidR="00EC5B87" w:rsidRPr="002842A2" w:rsidRDefault="00EC5B87" w:rsidP="00C20F49">
            <w:pPr>
              <w:rPr>
                <w:rFonts w:cstheme="minorHAnsi"/>
                <w:sz w:val="20"/>
                <w:szCs w:val="20"/>
              </w:rPr>
            </w:pPr>
          </w:p>
        </w:tc>
        <w:tc>
          <w:tcPr>
            <w:tcW w:w="1008" w:type="pct"/>
            <w:vAlign w:val="center"/>
          </w:tcPr>
          <w:p w14:paraId="19266C0B" w14:textId="52263B41" w:rsidR="00EC5B87" w:rsidRPr="002842A2" w:rsidRDefault="00EC5B87" w:rsidP="0052696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Dietas Hospitalares</w:t>
            </w:r>
          </w:p>
        </w:tc>
        <w:tc>
          <w:tcPr>
            <w:tcW w:w="3513" w:type="pct"/>
          </w:tcPr>
          <w:p w14:paraId="039E7BE6" w14:textId="535E5089"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6" w:history="1">
              <w:r w:rsidRPr="002842A2">
                <w:rPr>
                  <w:rStyle w:val="Hiperligao"/>
                  <w:rFonts w:cstheme="minorHAnsi"/>
                  <w:sz w:val="20"/>
                  <w:szCs w:val="20"/>
                </w:rPr>
                <w:t>Manual de Dietas Hospitalares</w:t>
              </w:r>
            </w:hyperlink>
            <w:r w:rsidRPr="002842A2">
              <w:rPr>
                <w:rFonts w:cstheme="minorHAnsi"/>
                <w:sz w:val="20"/>
                <w:szCs w:val="20"/>
              </w:rPr>
              <w:t>, PNPAS; DGS, 2021</w:t>
            </w:r>
          </w:p>
          <w:p w14:paraId="609A4A04" w14:textId="19312F84" w:rsidR="00EC5B87" w:rsidRPr="002842A2" w:rsidRDefault="002842A2"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Harmonização d</w:t>
            </w:r>
            <w:bookmarkStart w:id="5" w:name="_GoBack"/>
            <w:bookmarkEnd w:id="5"/>
            <w:r w:rsidR="00EC5B87" w:rsidRPr="002842A2">
              <w:rPr>
                <w:rFonts w:cstheme="minorHAnsi"/>
                <w:sz w:val="20"/>
                <w:szCs w:val="20"/>
              </w:rPr>
              <w:t>as dietas hospitalares (tipologia de dietas, composição das refeições e respetivas quantidades utilizadas) e a sua nomenclatura em todos as unidades hospitalares da rede do Serviço Nacional de Saúde.</w:t>
            </w:r>
          </w:p>
          <w:p w14:paraId="74589EF1" w14:textId="77777777"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7" w:history="1">
              <w:r w:rsidRPr="002842A2">
                <w:rPr>
                  <w:rStyle w:val="Hiperligao"/>
                  <w:rFonts w:cstheme="minorHAnsi"/>
                  <w:sz w:val="20"/>
                  <w:szCs w:val="20"/>
                </w:rPr>
                <w:t>Despacho n.º 10511/2021</w:t>
              </w:r>
            </w:hyperlink>
          </w:p>
          <w:p w14:paraId="720BB1F1" w14:textId="77BC96DB" w:rsidR="00EC5B87" w:rsidRPr="002842A2" w:rsidRDefault="00EC5B87" w:rsidP="00C20F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Determina que os contratos a celebrar para a prestação de serviços de refeições hospitalares destinadas a doentes, pelos estabelecimentos hospitalares do SNS, devem ser elaborados em conformidade com o Manual de Dietas Hospitalares da Direção-Geral da Saúde.</w:t>
            </w:r>
          </w:p>
        </w:tc>
      </w:tr>
      <w:tr w:rsidR="006F19A1" w:rsidRPr="002842A2" w14:paraId="741D7DD7" w14:textId="77777777" w:rsidTr="00122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7506E0C9" w14:textId="77777777" w:rsidR="006F19A1" w:rsidRPr="002842A2" w:rsidRDefault="006F19A1" w:rsidP="00CA38C5">
            <w:pPr>
              <w:jc w:val="center"/>
              <w:rPr>
                <w:rFonts w:cstheme="minorHAnsi"/>
                <w:color w:val="auto"/>
                <w:sz w:val="20"/>
                <w:szCs w:val="20"/>
              </w:rPr>
            </w:pPr>
            <w:r w:rsidRPr="002842A2">
              <w:rPr>
                <w:rFonts w:cstheme="minorHAnsi"/>
                <w:color w:val="auto"/>
                <w:sz w:val="20"/>
                <w:szCs w:val="20"/>
              </w:rPr>
              <w:t>HIGIENE</w:t>
            </w:r>
          </w:p>
        </w:tc>
        <w:tc>
          <w:tcPr>
            <w:tcW w:w="1008" w:type="pct"/>
            <w:vAlign w:val="center"/>
          </w:tcPr>
          <w:p w14:paraId="23EA7AE1" w14:textId="77777777" w:rsidR="006F19A1" w:rsidRPr="002842A2" w:rsidRDefault="006F19A1" w:rsidP="0026235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7578C6F4" w14:textId="77777777" w:rsidR="006F19A1" w:rsidRPr="002842A2" w:rsidRDefault="0028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8" w:history="1">
              <w:r w:rsidR="006F19A1" w:rsidRPr="002842A2">
                <w:rPr>
                  <w:rStyle w:val="Hiperligao"/>
                  <w:rFonts w:cstheme="minorHAnsi"/>
                  <w:sz w:val="20"/>
                  <w:szCs w:val="20"/>
                </w:rPr>
                <w:t>REGULAMENTO (CE) N.º 178/2002</w:t>
              </w:r>
            </w:hyperlink>
            <w:r w:rsidR="006F19A1" w:rsidRPr="002842A2">
              <w:rPr>
                <w:rFonts w:cstheme="minorHAnsi"/>
                <w:sz w:val="20"/>
                <w:szCs w:val="20"/>
              </w:rPr>
              <w:t xml:space="preserve"> </w:t>
            </w:r>
          </w:p>
          <w:p w14:paraId="357567D7" w14:textId="77777777" w:rsidR="006F19A1" w:rsidRPr="002842A2" w:rsidRDefault="006F19A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Determina os princípios e normas gerais da legislação alimentar, e estabelece procedimentos em matéria de segurança dos géneros alimentícios</w:t>
            </w:r>
          </w:p>
        </w:tc>
      </w:tr>
      <w:tr w:rsidR="006F19A1" w:rsidRPr="002842A2" w14:paraId="4E4A1C53" w14:textId="77777777" w:rsidTr="0012264C">
        <w:trPr>
          <w:jc w:val="center"/>
        </w:trPr>
        <w:tc>
          <w:tcPr>
            <w:cnfStyle w:val="001000000000" w:firstRow="0" w:lastRow="0" w:firstColumn="1" w:lastColumn="0" w:oddVBand="0" w:evenVBand="0" w:oddHBand="0" w:evenHBand="0" w:firstRowFirstColumn="0" w:firstRowLastColumn="0" w:lastRowFirstColumn="0" w:lastRowLastColumn="0"/>
            <w:tcW w:w="479" w:type="pct"/>
            <w:vMerge/>
          </w:tcPr>
          <w:p w14:paraId="2A71A009" w14:textId="77777777" w:rsidR="006F19A1" w:rsidRPr="002842A2" w:rsidRDefault="006F19A1">
            <w:pPr>
              <w:rPr>
                <w:rFonts w:cstheme="minorHAnsi"/>
                <w:color w:val="auto"/>
                <w:sz w:val="20"/>
                <w:szCs w:val="20"/>
              </w:rPr>
            </w:pPr>
          </w:p>
        </w:tc>
        <w:tc>
          <w:tcPr>
            <w:tcW w:w="1008" w:type="pct"/>
            <w:vAlign w:val="center"/>
          </w:tcPr>
          <w:p w14:paraId="641547B8" w14:textId="77777777" w:rsidR="006F19A1" w:rsidRPr="002842A2" w:rsidRDefault="006F19A1" w:rsidP="0026235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1F6D3E81" w14:textId="77777777" w:rsidR="006F19A1" w:rsidRPr="002842A2" w:rsidRDefault="0028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9" w:history="1">
              <w:r w:rsidR="006F19A1" w:rsidRPr="002842A2">
                <w:rPr>
                  <w:rStyle w:val="Hiperligao"/>
                  <w:rFonts w:cstheme="minorHAnsi"/>
                  <w:sz w:val="20"/>
                  <w:szCs w:val="20"/>
                </w:rPr>
                <w:t>REGULAMENTO (CE) N.º 852/2004</w:t>
              </w:r>
            </w:hyperlink>
            <w:r w:rsidR="006F19A1" w:rsidRPr="002842A2">
              <w:rPr>
                <w:rFonts w:cstheme="minorHAnsi"/>
                <w:sz w:val="20"/>
                <w:szCs w:val="20"/>
              </w:rPr>
              <w:t xml:space="preserve"> </w:t>
            </w:r>
          </w:p>
          <w:p w14:paraId="3D039A7A" w14:textId="77777777" w:rsidR="006F19A1" w:rsidRPr="002842A2" w:rsidRDefault="006F19A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 xml:space="preserve">Estabelece as regras gerais destinadas aos operadores das empresas do sector alimentar no que se refere à higiene dos géneros alimentícios </w:t>
            </w:r>
          </w:p>
        </w:tc>
      </w:tr>
      <w:tr w:rsidR="006F19A1" w:rsidRPr="002842A2" w14:paraId="2F2737C4" w14:textId="77777777" w:rsidTr="00122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 w:type="pct"/>
            <w:vMerge/>
          </w:tcPr>
          <w:p w14:paraId="0C2D8C79" w14:textId="77777777" w:rsidR="006F19A1" w:rsidRPr="002842A2" w:rsidRDefault="006F19A1">
            <w:pPr>
              <w:rPr>
                <w:rFonts w:cstheme="minorHAnsi"/>
                <w:color w:val="auto"/>
                <w:sz w:val="20"/>
                <w:szCs w:val="20"/>
              </w:rPr>
            </w:pPr>
          </w:p>
        </w:tc>
        <w:tc>
          <w:tcPr>
            <w:tcW w:w="1008" w:type="pct"/>
            <w:vAlign w:val="center"/>
          </w:tcPr>
          <w:p w14:paraId="4A72BC26" w14:textId="77777777" w:rsidR="006F19A1" w:rsidRPr="002842A2" w:rsidRDefault="006F19A1" w:rsidP="0026235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2EA8CE81" w14:textId="77777777" w:rsidR="006F19A1" w:rsidRPr="002842A2" w:rsidRDefault="0028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0" w:history="1">
              <w:r w:rsidR="006F19A1" w:rsidRPr="002842A2">
                <w:rPr>
                  <w:rStyle w:val="Hiperligao"/>
                  <w:rFonts w:cstheme="minorHAnsi"/>
                  <w:sz w:val="20"/>
                  <w:szCs w:val="20"/>
                </w:rPr>
                <w:t>REGULAMENTO (CE) N.º 853/2004</w:t>
              </w:r>
            </w:hyperlink>
            <w:r w:rsidR="006F19A1" w:rsidRPr="002842A2">
              <w:rPr>
                <w:rFonts w:cstheme="minorHAnsi"/>
                <w:sz w:val="20"/>
                <w:szCs w:val="20"/>
              </w:rPr>
              <w:t xml:space="preserve"> </w:t>
            </w:r>
          </w:p>
          <w:p w14:paraId="1D06F665" w14:textId="77777777" w:rsidR="006F19A1" w:rsidRPr="002842A2" w:rsidRDefault="006F19A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Estabelece regras específicas de higiene aplicáveis aos géneros alimentícios de origem animal, transformados e não transformados</w:t>
            </w:r>
          </w:p>
        </w:tc>
      </w:tr>
      <w:tr w:rsidR="006F19A1" w:rsidRPr="002842A2" w14:paraId="12BFD1E0" w14:textId="77777777" w:rsidTr="0012264C">
        <w:trPr>
          <w:jc w:val="center"/>
        </w:trPr>
        <w:tc>
          <w:tcPr>
            <w:cnfStyle w:val="001000000000" w:firstRow="0" w:lastRow="0" w:firstColumn="1" w:lastColumn="0" w:oddVBand="0" w:evenVBand="0" w:oddHBand="0" w:evenHBand="0" w:firstRowFirstColumn="0" w:firstRowLastColumn="0" w:lastRowFirstColumn="0" w:lastRowLastColumn="0"/>
            <w:tcW w:w="479" w:type="pct"/>
            <w:vMerge/>
            <w:vAlign w:val="center"/>
          </w:tcPr>
          <w:p w14:paraId="1EBD1DFE" w14:textId="77777777" w:rsidR="006F19A1" w:rsidRPr="002842A2" w:rsidRDefault="006F19A1">
            <w:pPr>
              <w:rPr>
                <w:rFonts w:cstheme="minorHAnsi"/>
                <w:sz w:val="20"/>
                <w:szCs w:val="20"/>
              </w:rPr>
            </w:pPr>
          </w:p>
        </w:tc>
        <w:tc>
          <w:tcPr>
            <w:tcW w:w="1008" w:type="pct"/>
            <w:vAlign w:val="center"/>
          </w:tcPr>
          <w:p w14:paraId="58346540" w14:textId="595932E8" w:rsidR="006F19A1" w:rsidRPr="002842A2" w:rsidRDefault="006F19A1" w:rsidP="0026235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49861CEE" w14:textId="13824E22" w:rsidR="006F19A1" w:rsidRPr="002842A2" w:rsidRDefault="0028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1" w:history="1">
              <w:r w:rsidR="006F19A1" w:rsidRPr="002842A2">
                <w:rPr>
                  <w:rStyle w:val="Hiperligao"/>
                  <w:rFonts w:cstheme="minorHAnsi"/>
                  <w:sz w:val="20"/>
                  <w:szCs w:val="20"/>
                </w:rPr>
                <w:t xml:space="preserve">Lista de Verificação: Higiene Alimentar na Restauração </w:t>
              </w:r>
              <w:proofErr w:type="spellStart"/>
              <w:r w:rsidR="006F19A1" w:rsidRPr="002842A2">
                <w:rPr>
                  <w:rStyle w:val="Hiperligao"/>
                  <w:rFonts w:cstheme="minorHAnsi"/>
                  <w:sz w:val="20"/>
                  <w:szCs w:val="20"/>
                </w:rPr>
                <w:t>Colectiva</w:t>
              </w:r>
              <w:proofErr w:type="spellEnd"/>
            </w:hyperlink>
          </w:p>
          <w:p w14:paraId="6D1D2921" w14:textId="0680E149" w:rsidR="000A5966" w:rsidRPr="002842A2" w:rsidRDefault="006F19A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José Amorim. Instituto Nacional de Saúde Dr. Ricardo Jorge, 2004</w:t>
            </w:r>
          </w:p>
        </w:tc>
      </w:tr>
      <w:tr w:rsidR="0012264C" w:rsidRPr="002842A2" w14:paraId="425D6053" w14:textId="77777777" w:rsidTr="00122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0E932117" w14:textId="77777777" w:rsidR="0012264C" w:rsidRPr="002842A2" w:rsidRDefault="0012264C" w:rsidP="00CA38C5">
            <w:pPr>
              <w:jc w:val="center"/>
              <w:rPr>
                <w:rFonts w:cstheme="minorHAnsi"/>
                <w:sz w:val="20"/>
                <w:szCs w:val="20"/>
              </w:rPr>
            </w:pPr>
            <w:bookmarkStart w:id="6" w:name="_Hlk82439310"/>
            <w:r w:rsidRPr="002842A2">
              <w:rPr>
                <w:rFonts w:cstheme="minorHAnsi"/>
                <w:color w:val="auto"/>
                <w:sz w:val="20"/>
                <w:szCs w:val="20"/>
              </w:rPr>
              <w:t>ROTULAGEM</w:t>
            </w:r>
          </w:p>
        </w:tc>
        <w:tc>
          <w:tcPr>
            <w:tcW w:w="1008" w:type="pct"/>
            <w:vAlign w:val="center"/>
          </w:tcPr>
          <w:p w14:paraId="3D691C63" w14:textId="77777777" w:rsidR="0012264C" w:rsidRPr="002842A2" w:rsidRDefault="0012264C" w:rsidP="0026235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0472E22D" w14:textId="77777777" w:rsidR="0012264C" w:rsidRPr="002842A2" w:rsidRDefault="0028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2" w:history="1">
              <w:r w:rsidR="0012264C" w:rsidRPr="002842A2">
                <w:rPr>
                  <w:rStyle w:val="Hiperligao"/>
                  <w:rFonts w:cstheme="minorHAnsi"/>
                  <w:sz w:val="20"/>
                  <w:szCs w:val="20"/>
                </w:rPr>
                <w:t>REGULAMENTO (UE) N.º 1169/2011</w:t>
              </w:r>
            </w:hyperlink>
          </w:p>
          <w:p w14:paraId="465B9484" w14:textId="194F65B8" w:rsidR="0012264C" w:rsidRPr="002842A2" w:rsidRDefault="001226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b/>
                <w:bCs/>
                <w:sz w:val="20"/>
                <w:szCs w:val="20"/>
              </w:rPr>
              <w:t>Regulamento de informação ao consumidor</w:t>
            </w:r>
            <w:r w:rsidRPr="002842A2">
              <w:rPr>
                <w:rFonts w:cstheme="minorHAnsi"/>
                <w:sz w:val="20"/>
                <w:szCs w:val="20"/>
              </w:rPr>
              <w:t>,</w:t>
            </w:r>
            <w:r w:rsidRPr="002842A2">
              <w:rPr>
                <w:rFonts w:cstheme="minorHAnsi"/>
                <w:b/>
                <w:bCs/>
                <w:sz w:val="20"/>
                <w:szCs w:val="20"/>
              </w:rPr>
              <w:t xml:space="preserve"> </w:t>
            </w:r>
            <w:r w:rsidRPr="002842A2">
              <w:rPr>
                <w:rFonts w:cstheme="minorHAnsi"/>
                <w:sz w:val="20"/>
                <w:szCs w:val="20"/>
              </w:rPr>
              <w:t>estabelece as regras de informação aos consumidores sobre os géneros alimentícios</w:t>
            </w:r>
          </w:p>
        </w:tc>
      </w:tr>
      <w:bookmarkEnd w:id="6"/>
      <w:tr w:rsidR="0012264C" w:rsidRPr="002842A2" w14:paraId="258BAC7E" w14:textId="77777777" w:rsidTr="0012264C">
        <w:trPr>
          <w:jc w:val="center"/>
        </w:trPr>
        <w:tc>
          <w:tcPr>
            <w:cnfStyle w:val="001000000000" w:firstRow="0" w:lastRow="0" w:firstColumn="1" w:lastColumn="0" w:oddVBand="0" w:evenVBand="0" w:oddHBand="0" w:evenHBand="0" w:firstRowFirstColumn="0" w:firstRowLastColumn="0" w:lastRowFirstColumn="0" w:lastRowLastColumn="0"/>
            <w:tcW w:w="479" w:type="pct"/>
            <w:vMerge/>
          </w:tcPr>
          <w:p w14:paraId="134517DD" w14:textId="77777777" w:rsidR="0012264C" w:rsidRPr="002842A2" w:rsidRDefault="0012264C">
            <w:pPr>
              <w:rPr>
                <w:rFonts w:cstheme="minorHAnsi"/>
                <w:sz w:val="20"/>
                <w:szCs w:val="20"/>
              </w:rPr>
            </w:pPr>
          </w:p>
        </w:tc>
        <w:tc>
          <w:tcPr>
            <w:tcW w:w="1008" w:type="pct"/>
            <w:vAlign w:val="center"/>
          </w:tcPr>
          <w:p w14:paraId="5CB1263E" w14:textId="77777777" w:rsidR="0012264C" w:rsidRPr="002842A2" w:rsidRDefault="0012264C" w:rsidP="0026235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18DCB843" w14:textId="77777777" w:rsidR="0012264C" w:rsidRPr="002842A2" w:rsidRDefault="0028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3" w:history="1">
              <w:r w:rsidR="0012264C" w:rsidRPr="002842A2">
                <w:rPr>
                  <w:rStyle w:val="Hiperligao"/>
                  <w:rFonts w:cstheme="minorHAnsi"/>
                  <w:sz w:val="20"/>
                  <w:szCs w:val="20"/>
                </w:rPr>
                <w:t>Comunicação da Comissão</w:t>
              </w:r>
            </w:hyperlink>
            <w:r w:rsidR="0012264C" w:rsidRPr="002842A2">
              <w:rPr>
                <w:rFonts w:cstheme="minorHAnsi"/>
                <w:sz w:val="20"/>
                <w:szCs w:val="20"/>
              </w:rPr>
              <w:t xml:space="preserve"> </w:t>
            </w:r>
          </w:p>
          <w:p w14:paraId="1314F1C4" w14:textId="15FE002A" w:rsidR="0012264C" w:rsidRPr="002842A2" w:rsidRDefault="001226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Aplicação do Regulamento (UE) n.º 1169/2011</w:t>
            </w:r>
          </w:p>
        </w:tc>
      </w:tr>
      <w:tr w:rsidR="0012264C" w:rsidRPr="002842A2" w14:paraId="3B754218" w14:textId="77777777" w:rsidTr="00122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 w:type="pct"/>
            <w:vMerge/>
          </w:tcPr>
          <w:p w14:paraId="7A6531C4" w14:textId="77777777" w:rsidR="0012264C" w:rsidRPr="002842A2" w:rsidRDefault="0012264C">
            <w:pPr>
              <w:rPr>
                <w:rFonts w:cstheme="minorHAnsi"/>
                <w:sz w:val="20"/>
                <w:szCs w:val="20"/>
              </w:rPr>
            </w:pPr>
          </w:p>
        </w:tc>
        <w:tc>
          <w:tcPr>
            <w:tcW w:w="1008" w:type="pct"/>
            <w:vAlign w:val="center"/>
          </w:tcPr>
          <w:p w14:paraId="17331DCC" w14:textId="77777777" w:rsidR="0012264C" w:rsidRPr="002842A2" w:rsidRDefault="0012264C" w:rsidP="0026235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1F0ADCAD" w14:textId="77777777" w:rsidR="0012264C" w:rsidRPr="002842A2" w:rsidRDefault="0028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4" w:history="1">
              <w:r w:rsidR="0012264C" w:rsidRPr="002842A2">
                <w:rPr>
                  <w:rStyle w:val="Hiperligao"/>
                  <w:rFonts w:cstheme="minorHAnsi"/>
                  <w:sz w:val="20"/>
                  <w:szCs w:val="20"/>
                </w:rPr>
                <w:t>Decreto-Lei n.º 26/2016</w:t>
              </w:r>
            </w:hyperlink>
          </w:p>
          <w:p w14:paraId="7EC089D9" w14:textId="77777777" w:rsidR="0012264C" w:rsidRPr="002842A2" w:rsidRDefault="001226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2A2">
              <w:rPr>
                <w:rFonts w:cstheme="minorHAnsi"/>
                <w:sz w:val="20"/>
                <w:szCs w:val="20"/>
              </w:rPr>
              <w:t>Informação a prestar aos consumidores sobre os alimentos apresentados para venda ao consumidor final ou aos estabelecimentos de restauração coletiva sem acondicionamento prévio, bem como os géneros alimentícios fornecidos por estabelecimentos de restauração coletiva</w:t>
            </w:r>
          </w:p>
        </w:tc>
      </w:tr>
      <w:tr w:rsidR="0012264C" w:rsidRPr="002842A2" w14:paraId="4766B383" w14:textId="77777777" w:rsidTr="0012264C">
        <w:trPr>
          <w:jc w:val="center"/>
        </w:trPr>
        <w:tc>
          <w:tcPr>
            <w:cnfStyle w:val="001000000000" w:firstRow="0" w:lastRow="0" w:firstColumn="1" w:lastColumn="0" w:oddVBand="0" w:evenVBand="0" w:oddHBand="0" w:evenHBand="0" w:firstRowFirstColumn="0" w:firstRowLastColumn="0" w:lastRowFirstColumn="0" w:lastRowLastColumn="0"/>
            <w:tcW w:w="479" w:type="pct"/>
          </w:tcPr>
          <w:p w14:paraId="29CF0F32" w14:textId="22BDEC5B" w:rsidR="0012264C" w:rsidRPr="002842A2" w:rsidRDefault="0012264C" w:rsidP="0012264C">
            <w:pPr>
              <w:rPr>
                <w:rFonts w:cstheme="minorHAnsi"/>
                <w:sz w:val="20"/>
                <w:szCs w:val="20"/>
              </w:rPr>
            </w:pPr>
            <w:r w:rsidRPr="002842A2">
              <w:rPr>
                <w:rFonts w:cstheme="minorHAnsi"/>
                <w:color w:val="auto"/>
                <w:sz w:val="20"/>
                <w:szCs w:val="20"/>
              </w:rPr>
              <w:t>EMBALAGENS</w:t>
            </w:r>
          </w:p>
        </w:tc>
        <w:tc>
          <w:tcPr>
            <w:tcW w:w="1008" w:type="pct"/>
            <w:vAlign w:val="center"/>
          </w:tcPr>
          <w:p w14:paraId="0786C024" w14:textId="38970FB4" w:rsidR="0012264C" w:rsidRPr="002842A2" w:rsidRDefault="0012264C" w:rsidP="0012264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Geral</w:t>
            </w:r>
          </w:p>
        </w:tc>
        <w:tc>
          <w:tcPr>
            <w:tcW w:w="3513" w:type="pct"/>
          </w:tcPr>
          <w:p w14:paraId="2D052486" w14:textId="77777777" w:rsidR="0012264C" w:rsidRPr="002842A2" w:rsidRDefault="002842A2" w:rsidP="001226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5" w:history="1">
              <w:r w:rsidR="0012264C" w:rsidRPr="002842A2">
                <w:rPr>
                  <w:rStyle w:val="Hiperligao"/>
                  <w:rFonts w:cstheme="minorHAnsi"/>
                  <w:sz w:val="20"/>
                  <w:szCs w:val="20"/>
                </w:rPr>
                <w:t>Lei n.º 76/2019</w:t>
              </w:r>
            </w:hyperlink>
          </w:p>
          <w:p w14:paraId="5785E9C9" w14:textId="0F6533B2" w:rsidR="0012264C" w:rsidRPr="002842A2" w:rsidRDefault="0012264C" w:rsidP="001226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42A2">
              <w:rPr>
                <w:rFonts w:cstheme="minorHAnsi"/>
                <w:sz w:val="20"/>
                <w:szCs w:val="20"/>
              </w:rPr>
              <w:t>Determina a não utilização e não disponibilização de louça de plástico de utilização única nas atividades do setor de restauração e/ou bebidas e no comércio a retalho</w:t>
            </w:r>
            <w:r w:rsidR="00C04BE6" w:rsidRPr="002842A2">
              <w:rPr>
                <w:rFonts w:cstheme="minorHAnsi"/>
                <w:sz w:val="20"/>
                <w:szCs w:val="20"/>
              </w:rPr>
              <w:t xml:space="preserve">, </w:t>
            </w:r>
            <w:r w:rsidRPr="002842A2">
              <w:rPr>
                <w:rFonts w:cstheme="minorHAnsi"/>
                <w:sz w:val="20"/>
                <w:szCs w:val="20"/>
              </w:rPr>
              <w:t xml:space="preserve">a partir de 1 de julho de 2021 </w:t>
            </w:r>
            <w:r w:rsidR="00C04BE6" w:rsidRPr="002842A2">
              <w:rPr>
                <w:rFonts w:cstheme="minorHAnsi"/>
                <w:sz w:val="20"/>
                <w:szCs w:val="20"/>
              </w:rPr>
              <w:t>(</w:t>
            </w:r>
            <w:hyperlink r:id="rId26" w:history="1">
              <w:r w:rsidRPr="002842A2">
                <w:rPr>
                  <w:rStyle w:val="Hiperligao"/>
                  <w:rFonts w:cstheme="minorHAnsi"/>
                  <w:sz w:val="20"/>
                  <w:szCs w:val="20"/>
                </w:rPr>
                <w:t>Decreto-Lei n.º 22-A/2021</w:t>
              </w:r>
            </w:hyperlink>
            <w:r w:rsidRPr="002842A2">
              <w:rPr>
                <w:rFonts w:cstheme="minorHAnsi"/>
                <w:sz w:val="20"/>
                <w:szCs w:val="20"/>
              </w:rPr>
              <w:t>)</w:t>
            </w:r>
          </w:p>
        </w:tc>
      </w:tr>
    </w:tbl>
    <w:p w14:paraId="0F52CBC9" w14:textId="77777777" w:rsidR="00A515F1" w:rsidRPr="004242E7" w:rsidRDefault="00A515F1"/>
    <w:sectPr w:rsidR="00A515F1" w:rsidRPr="004242E7" w:rsidSect="0012264C">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4CE2" w14:textId="77777777" w:rsidR="00135E89" w:rsidRDefault="00135E89" w:rsidP="007A78EC">
      <w:pPr>
        <w:spacing w:after="0" w:line="240" w:lineRule="auto"/>
      </w:pPr>
      <w:r>
        <w:separator/>
      </w:r>
    </w:p>
  </w:endnote>
  <w:endnote w:type="continuationSeparator" w:id="0">
    <w:p w14:paraId="42AE8A45" w14:textId="77777777" w:rsidR="00135E89" w:rsidRDefault="00135E89" w:rsidP="007A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A778" w14:textId="77777777" w:rsidR="00BC4DED" w:rsidRDefault="00BC4D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F0C7" w14:textId="77777777" w:rsidR="00BC4DED" w:rsidRDefault="00BC4DE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D380" w14:textId="77777777" w:rsidR="00BC4DED" w:rsidRDefault="00BC4D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D5E2" w14:textId="77777777" w:rsidR="00135E89" w:rsidRDefault="00135E89" w:rsidP="007A78EC">
      <w:pPr>
        <w:spacing w:after="0" w:line="240" w:lineRule="auto"/>
      </w:pPr>
      <w:r>
        <w:separator/>
      </w:r>
    </w:p>
  </w:footnote>
  <w:footnote w:type="continuationSeparator" w:id="0">
    <w:p w14:paraId="64D498F1" w14:textId="77777777" w:rsidR="00135E89" w:rsidRDefault="00135E89" w:rsidP="007A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A15B" w14:textId="77777777" w:rsidR="00BC4DED" w:rsidRDefault="00BC4D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D680" w14:textId="77777777" w:rsidR="00494244" w:rsidRDefault="00494244" w:rsidP="00494244">
    <w:pPr>
      <w:pStyle w:val="Cabealho"/>
      <w:jc w:val="center"/>
      <w:rPr>
        <w:b/>
        <w:bCs/>
      </w:rPr>
    </w:pPr>
  </w:p>
  <w:p w14:paraId="73D09B1C" w14:textId="03628E7F" w:rsidR="00494244" w:rsidRDefault="00494244" w:rsidP="00494244">
    <w:pPr>
      <w:pStyle w:val="Cabealho"/>
      <w:jc w:val="center"/>
      <w:rPr>
        <w:b/>
        <w:bCs/>
      </w:rPr>
    </w:pPr>
    <w:bookmarkStart w:id="7" w:name="_Hlk84863901"/>
    <w:r w:rsidRPr="00BC4DED">
      <w:rPr>
        <w:b/>
        <w:bCs/>
        <w:color w:val="000000" w:themeColor="text1"/>
      </w:rPr>
      <w:t xml:space="preserve">Anexo </w:t>
    </w:r>
    <w:r w:rsidR="00BC4DED" w:rsidRPr="00BC4DED">
      <w:rPr>
        <w:b/>
        <w:bCs/>
        <w:color w:val="000000" w:themeColor="text1"/>
      </w:rPr>
      <w:t>1</w:t>
    </w:r>
    <w:r w:rsidRPr="00BC4DED">
      <w:rPr>
        <w:b/>
        <w:bCs/>
        <w:color w:val="000000" w:themeColor="text1"/>
      </w:rPr>
      <w:t xml:space="preserve"> Regulamentação </w:t>
    </w:r>
    <w:r>
      <w:rPr>
        <w:b/>
        <w:bCs/>
      </w:rPr>
      <w:t xml:space="preserve">e Documentos Orientadores </w:t>
    </w:r>
    <w:r w:rsidR="003A47C4">
      <w:rPr>
        <w:b/>
        <w:bCs/>
      </w:rPr>
      <w:t xml:space="preserve">para </w:t>
    </w:r>
    <w:r>
      <w:rPr>
        <w:b/>
        <w:bCs/>
      </w:rPr>
      <w:t>a Restauração Coletiva</w:t>
    </w:r>
  </w:p>
  <w:bookmarkEnd w:id="7"/>
  <w:p w14:paraId="32B45841" w14:textId="77777777" w:rsidR="006D298D" w:rsidRPr="00494244" w:rsidRDefault="006D298D" w:rsidP="00494244">
    <w:pPr>
      <w:pStyle w:val="Cabealho"/>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68B" w14:textId="77777777" w:rsidR="00BC4DED" w:rsidRDefault="00BC4DE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A5"/>
    <w:rsid w:val="00005CB0"/>
    <w:rsid w:val="000730AF"/>
    <w:rsid w:val="000A5966"/>
    <w:rsid w:val="000D3366"/>
    <w:rsid w:val="000D6ABF"/>
    <w:rsid w:val="0012264C"/>
    <w:rsid w:val="00135E89"/>
    <w:rsid w:val="00137D36"/>
    <w:rsid w:val="00196247"/>
    <w:rsid w:val="001C386E"/>
    <w:rsid w:val="001D1191"/>
    <w:rsid w:val="001D6B41"/>
    <w:rsid w:val="001E5D45"/>
    <w:rsid w:val="00200916"/>
    <w:rsid w:val="00202B60"/>
    <w:rsid w:val="002400B3"/>
    <w:rsid w:val="0024031A"/>
    <w:rsid w:val="00262355"/>
    <w:rsid w:val="002842A2"/>
    <w:rsid w:val="00292D5A"/>
    <w:rsid w:val="002A35CF"/>
    <w:rsid w:val="002B1BAE"/>
    <w:rsid w:val="002C165C"/>
    <w:rsid w:val="003A47C4"/>
    <w:rsid w:val="003F795C"/>
    <w:rsid w:val="004242E7"/>
    <w:rsid w:val="00453AC5"/>
    <w:rsid w:val="00494244"/>
    <w:rsid w:val="004B3E61"/>
    <w:rsid w:val="004C7230"/>
    <w:rsid w:val="00516631"/>
    <w:rsid w:val="00524C20"/>
    <w:rsid w:val="0052696B"/>
    <w:rsid w:val="005331C3"/>
    <w:rsid w:val="00542AF3"/>
    <w:rsid w:val="005872D9"/>
    <w:rsid w:val="005B3D5E"/>
    <w:rsid w:val="005E115D"/>
    <w:rsid w:val="005E4680"/>
    <w:rsid w:val="006033F5"/>
    <w:rsid w:val="006136F9"/>
    <w:rsid w:val="006162C4"/>
    <w:rsid w:val="006612E2"/>
    <w:rsid w:val="006B6933"/>
    <w:rsid w:val="006C4CFC"/>
    <w:rsid w:val="006D298D"/>
    <w:rsid w:val="006E3168"/>
    <w:rsid w:val="006F19A1"/>
    <w:rsid w:val="00711F1D"/>
    <w:rsid w:val="0075537E"/>
    <w:rsid w:val="007A0EF9"/>
    <w:rsid w:val="007A78EC"/>
    <w:rsid w:val="007F0BE4"/>
    <w:rsid w:val="00803324"/>
    <w:rsid w:val="00814BDB"/>
    <w:rsid w:val="00821FFF"/>
    <w:rsid w:val="008317C8"/>
    <w:rsid w:val="00925D97"/>
    <w:rsid w:val="009329C0"/>
    <w:rsid w:val="00945D4E"/>
    <w:rsid w:val="00951CF8"/>
    <w:rsid w:val="00987F3C"/>
    <w:rsid w:val="00A03829"/>
    <w:rsid w:val="00A41329"/>
    <w:rsid w:val="00A515F1"/>
    <w:rsid w:val="00A56C95"/>
    <w:rsid w:val="00A56DA5"/>
    <w:rsid w:val="00A64E40"/>
    <w:rsid w:val="00AA0845"/>
    <w:rsid w:val="00AD4194"/>
    <w:rsid w:val="00AF3F5D"/>
    <w:rsid w:val="00B03D7C"/>
    <w:rsid w:val="00B26511"/>
    <w:rsid w:val="00B31F10"/>
    <w:rsid w:val="00B80D85"/>
    <w:rsid w:val="00B97924"/>
    <w:rsid w:val="00BC4DED"/>
    <w:rsid w:val="00BE09E2"/>
    <w:rsid w:val="00BF0500"/>
    <w:rsid w:val="00BF3CAF"/>
    <w:rsid w:val="00C04BE6"/>
    <w:rsid w:val="00C7728C"/>
    <w:rsid w:val="00C81ADE"/>
    <w:rsid w:val="00CA38C5"/>
    <w:rsid w:val="00CD052D"/>
    <w:rsid w:val="00D50D09"/>
    <w:rsid w:val="00D57BC7"/>
    <w:rsid w:val="00DD4FE5"/>
    <w:rsid w:val="00E11F07"/>
    <w:rsid w:val="00E21B26"/>
    <w:rsid w:val="00E449D2"/>
    <w:rsid w:val="00E919E7"/>
    <w:rsid w:val="00E94A8A"/>
    <w:rsid w:val="00E959D5"/>
    <w:rsid w:val="00EC5B87"/>
    <w:rsid w:val="00ED1D1A"/>
    <w:rsid w:val="00EE2AA3"/>
    <w:rsid w:val="00EE4BDE"/>
    <w:rsid w:val="00F0792E"/>
    <w:rsid w:val="00F10D49"/>
    <w:rsid w:val="00F262BE"/>
    <w:rsid w:val="00F30F87"/>
    <w:rsid w:val="00F54FA3"/>
    <w:rsid w:val="00F70B19"/>
    <w:rsid w:val="00F9663C"/>
    <w:rsid w:val="00F9741B"/>
    <w:rsid w:val="00FD45C6"/>
    <w:rsid w:val="00FF72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E7A64"/>
  <w15:chartTrackingRefBased/>
  <w15:docId w15:val="{034399BE-4288-4759-8FC9-31C2771D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9D2"/>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5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elha5Escura-Destaque4">
    <w:name w:val="Grid Table 5 Dark Accent 4"/>
    <w:basedOn w:val="Tabelanormal"/>
    <w:uiPriority w:val="50"/>
    <w:rsid w:val="00A56D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iperligao">
    <w:name w:val="Hyperlink"/>
    <w:basedOn w:val="Tipodeletrapredefinidodopargrafo"/>
    <w:uiPriority w:val="99"/>
    <w:unhideWhenUsed/>
    <w:rsid w:val="00B80D85"/>
    <w:rPr>
      <w:color w:val="0563C1" w:themeColor="hyperlink"/>
      <w:u w:val="single"/>
    </w:rPr>
  </w:style>
  <w:style w:type="character" w:styleId="MenoNoResolvida">
    <w:name w:val="Unresolved Mention"/>
    <w:basedOn w:val="Tipodeletrapredefinidodopargrafo"/>
    <w:uiPriority w:val="99"/>
    <w:semiHidden/>
    <w:unhideWhenUsed/>
    <w:rsid w:val="00B80D85"/>
    <w:rPr>
      <w:color w:val="605E5C"/>
      <w:shd w:val="clear" w:color="auto" w:fill="E1DFDD"/>
    </w:rPr>
  </w:style>
  <w:style w:type="table" w:styleId="TabeladeGrelha5Escura-Destaque6">
    <w:name w:val="Grid Table 5 Dark Accent 6"/>
    <w:basedOn w:val="Tabelanormal"/>
    <w:uiPriority w:val="50"/>
    <w:rsid w:val="00BE09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elha5Escura-Destaque2">
    <w:name w:val="Grid Table 5 Dark Accent 2"/>
    <w:basedOn w:val="Tabelanormal"/>
    <w:uiPriority w:val="50"/>
    <w:rsid w:val="00BE09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Forte">
    <w:name w:val="Strong"/>
    <w:basedOn w:val="Tipodeletrapredefinidodopargrafo"/>
    <w:uiPriority w:val="22"/>
    <w:qFormat/>
    <w:rsid w:val="00F0792E"/>
    <w:rPr>
      <w:b/>
      <w:bCs/>
    </w:rPr>
  </w:style>
  <w:style w:type="character" w:styleId="Hiperligaovisitada">
    <w:name w:val="FollowedHyperlink"/>
    <w:basedOn w:val="Tipodeletrapredefinidodopargrafo"/>
    <w:uiPriority w:val="99"/>
    <w:semiHidden/>
    <w:unhideWhenUsed/>
    <w:rsid w:val="002C165C"/>
    <w:rPr>
      <w:color w:val="954F72" w:themeColor="followedHyperlink"/>
      <w:u w:val="single"/>
    </w:rPr>
  </w:style>
  <w:style w:type="paragraph" w:styleId="Cabealho">
    <w:name w:val="header"/>
    <w:basedOn w:val="Normal"/>
    <w:link w:val="CabealhoCarter"/>
    <w:uiPriority w:val="99"/>
    <w:unhideWhenUsed/>
    <w:rsid w:val="007A78E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A78EC"/>
  </w:style>
  <w:style w:type="paragraph" w:styleId="Rodap">
    <w:name w:val="footer"/>
    <w:basedOn w:val="Normal"/>
    <w:link w:val="RodapCarter"/>
    <w:uiPriority w:val="99"/>
    <w:unhideWhenUsed/>
    <w:rsid w:val="007A78E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A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74608002" TargetMode="External"/><Relationship Id="rId18" Type="http://schemas.openxmlformats.org/officeDocument/2006/relationships/hyperlink" Target="https://eur-lex.europa.eu/LexUriServ/LexUriServ.do?uri=CONSLEG:2002R0178:20080325:PT:PDF" TargetMode="External"/><Relationship Id="rId26" Type="http://schemas.openxmlformats.org/officeDocument/2006/relationships/hyperlink" Target="https://dre.pt/application/file/a/159707317" TargetMode="External"/><Relationship Id="rId3" Type="http://schemas.openxmlformats.org/officeDocument/2006/relationships/settings" Target="settings.xml"/><Relationship Id="rId21" Type="http://schemas.openxmlformats.org/officeDocument/2006/relationships/hyperlink" Target="http://files.qualidadeseguranca.webnode.pt/200000035-b2330b32cd/Lista%20de%20Verifica%C3%A7%C3%A3o%20Higiene%20na%20Restaura%C3%A7%C3%A3o%20Colectiva%20%20Ricardo%20Jorge.pdf" TargetMode="External"/><Relationship Id="rId34" Type="http://schemas.openxmlformats.org/officeDocument/2006/relationships/theme" Target="theme/theme1.xml"/><Relationship Id="rId7" Type="http://schemas.openxmlformats.org/officeDocument/2006/relationships/hyperlink" Target="https://dre.pt/application/file/a/124097690" TargetMode="External"/><Relationship Id="rId12" Type="http://schemas.openxmlformats.org/officeDocument/2006/relationships/hyperlink" Target="https://www.sns.gov.pt/wp-content/uploads/2016/11/Orientacoes-para-o-fornecimento-de-refeicoes-saudaveis-pelas-entidades-da-economia-social.pdf" TargetMode="External"/><Relationship Id="rId17" Type="http://schemas.openxmlformats.org/officeDocument/2006/relationships/hyperlink" Target="https://dre.pt/application/file/a/173401265" TargetMode="External"/><Relationship Id="rId25" Type="http://schemas.openxmlformats.org/officeDocument/2006/relationships/hyperlink" Target="https://dre.pt/application/file/a/12434744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utrimento.pt/activeapp/wp-content/uploads/2021/10/DietasHospitalares_V20-1.pdf" TargetMode="External"/><Relationship Id="rId20" Type="http://schemas.openxmlformats.org/officeDocument/2006/relationships/hyperlink" Target="https://eur-lex.europa.eu/legal-content/PT/TXT/PDF/?uri=CELEX:02004R0853-20100715&amp;from=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utrimento.pt/activeapp/wp-content/uploads/2021/04/GuiaLanchesEscolarespdf.pdf" TargetMode="External"/><Relationship Id="rId24" Type="http://schemas.openxmlformats.org/officeDocument/2006/relationships/hyperlink" Target="https://dre.pt/application/conteudo/74661197"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nutrimento.pt/activeapp/wp-content/uploads/2018/06/Guia-Apoio-Despacho-n%C2%BA113912017.pdf" TargetMode="External"/><Relationship Id="rId23" Type="http://schemas.openxmlformats.org/officeDocument/2006/relationships/hyperlink" Target="https://eur-lex.europa.eu/legal-content/PT/TXT/PDF/?uri=CELEX:52018XC0608(01)&amp;from=EN" TargetMode="External"/><Relationship Id="rId28" Type="http://schemas.openxmlformats.org/officeDocument/2006/relationships/header" Target="header2.xml"/><Relationship Id="rId10" Type="http://schemas.openxmlformats.org/officeDocument/2006/relationships/hyperlink" Target="https://nutrimento.pt/activeapp/wp-content/uploads/2016/11/Planeamento-de-refei%c3%a7%c3%b5es-vegetarianas-para-crian%c3%a7as-em-restaura%c3%a7%c3%a3o-coletiva_principios-base.pdf" TargetMode="External"/><Relationship Id="rId19" Type="http://schemas.openxmlformats.org/officeDocument/2006/relationships/hyperlink" Target="https://eur-lex.europa.eu/legal-content/PT/TXT/PDF/?uri=CELEX:02004R0852-20090420&amp;from=PT"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ge.mec.pt/sites/default/files/Esaude/oere.pdf" TargetMode="External"/><Relationship Id="rId14" Type="http://schemas.openxmlformats.org/officeDocument/2006/relationships/hyperlink" Target="https://dre.pt/application/file/a/114414905" TargetMode="External"/><Relationship Id="rId22" Type="http://schemas.openxmlformats.org/officeDocument/2006/relationships/hyperlink" Target="https://eur-lex.europa.eu/legal-content/PT/TXT/PDF/?uri=CELEX:32011R1169&amp;from=P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dre.pt/application/file/a/11520071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EA19-1252-49B0-AB84-DCE3EF89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1112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DGADR</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Ilheu</dc:creator>
  <cp:keywords/>
  <dc:description/>
  <cp:lastModifiedBy>Maria Jose Ilheu</cp:lastModifiedBy>
  <cp:revision>13</cp:revision>
  <dcterms:created xsi:type="dcterms:W3CDTF">2021-09-13T14:26:00Z</dcterms:created>
  <dcterms:modified xsi:type="dcterms:W3CDTF">2021-10-27T09:23:00Z</dcterms:modified>
</cp:coreProperties>
</file>